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914B" w14:textId="1FE19BF1" w:rsidR="00475F65" w:rsidRDefault="00475F65" w:rsidP="004645C2">
      <w:pPr>
        <w:spacing w:after="0"/>
        <w:jc w:val="center"/>
        <w:rPr>
          <w:b/>
          <w:color w:val="1657A4"/>
          <w:sz w:val="36"/>
          <w:szCs w:val="20"/>
        </w:rPr>
      </w:pPr>
      <w:r>
        <w:rPr>
          <w:b/>
          <w:noProof/>
        </w:rPr>
        <w:drawing>
          <wp:anchor distT="0" distB="0" distL="114300" distR="114300" simplePos="0" relativeHeight="251659264" behindDoc="1" locked="0" layoutInCell="1" allowOverlap="1" wp14:anchorId="48AF961E" wp14:editId="6ACF28A6">
            <wp:simplePos x="0" y="0"/>
            <wp:positionH relativeFrom="margin">
              <wp:align>left</wp:align>
            </wp:positionH>
            <wp:positionV relativeFrom="paragraph">
              <wp:posOffset>0</wp:posOffset>
            </wp:positionV>
            <wp:extent cx="1314450" cy="510540"/>
            <wp:effectExtent l="0" t="0" r="0" b="3810"/>
            <wp:wrapTight wrapText="bothSides">
              <wp:wrapPolygon edited="0">
                <wp:start x="0" y="0"/>
                <wp:lineTo x="0" y="20955"/>
                <wp:lineTo x="21287" y="20955"/>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966" cy="516419"/>
                    </a:xfrm>
                    <a:prstGeom prst="rect">
                      <a:avLst/>
                    </a:prstGeom>
                    <a:noFill/>
                  </pic:spPr>
                </pic:pic>
              </a:graphicData>
            </a:graphic>
            <wp14:sizeRelH relativeFrom="margin">
              <wp14:pctWidth>0</wp14:pctWidth>
            </wp14:sizeRelH>
            <wp14:sizeRelV relativeFrom="margin">
              <wp14:pctHeight>0</wp14:pctHeight>
            </wp14:sizeRelV>
          </wp:anchor>
        </w:drawing>
      </w:r>
    </w:p>
    <w:p w14:paraId="18CE5CFE" w14:textId="77777777" w:rsidR="00475F65" w:rsidRDefault="00475F65" w:rsidP="004645C2">
      <w:pPr>
        <w:spacing w:after="0"/>
        <w:jc w:val="center"/>
        <w:rPr>
          <w:b/>
          <w:color w:val="1657A4"/>
          <w:sz w:val="36"/>
          <w:szCs w:val="20"/>
        </w:rPr>
      </w:pPr>
    </w:p>
    <w:p w14:paraId="0459636E" w14:textId="57E8FA92" w:rsidR="004645C2" w:rsidRPr="0034508D" w:rsidRDefault="0034508D" w:rsidP="004645C2">
      <w:pPr>
        <w:spacing w:after="0"/>
        <w:jc w:val="center"/>
        <w:rPr>
          <w:b/>
          <w:color w:val="1657A4"/>
          <w:sz w:val="36"/>
          <w:szCs w:val="20"/>
        </w:rPr>
      </w:pPr>
      <w:r w:rsidRPr="0034508D">
        <w:rPr>
          <w:b/>
          <w:color w:val="1657A4"/>
          <w:sz w:val="36"/>
          <w:szCs w:val="20"/>
        </w:rPr>
        <w:t xml:space="preserve">Sample </w:t>
      </w:r>
      <w:r w:rsidR="00472B2D" w:rsidRPr="0034508D">
        <w:rPr>
          <w:b/>
          <w:color w:val="1657A4"/>
          <w:sz w:val="36"/>
          <w:szCs w:val="20"/>
        </w:rPr>
        <w:t>Attentive Driving Policy</w:t>
      </w:r>
    </w:p>
    <w:p w14:paraId="2EDD67C3" w14:textId="77777777" w:rsidR="00940CDD" w:rsidRPr="00940CDD" w:rsidRDefault="00940CDD" w:rsidP="004645C2">
      <w:pPr>
        <w:spacing w:after="0"/>
        <w:jc w:val="center"/>
        <w:rPr>
          <w:b/>
          <w:color w:val="1657A4"/>
          <w:sz w:val="12"/>
          <w:szCs w:val="2"/>
        </w:rPr>
      </w:pPr>
    </w:p>
    <w:p w14:paraId="30981E13" w14:textId="2ABEA10A" w:rsidR="00472B2D" w:rsidRDefault="00472B2D" w:rsidP="00472B2D">
      <w:r w:rsidRPr="00472B2D">
        <w:rPr>
          <w:b/>
          <w:bCs/>
        </w:rPr>
        <w:t>Note to Organization:</w:t>
      </w:r>
      <w:r>
        <w:t xml:space="preserve">  The following is a sample a</w:t>
      </w:r>
      <w:r w:rsidRPr="00795C9B">
        <w:t xml:space="preserve">ttentive </w:t>
      </w:r>
      <w:r>
        <w:t>d</w:t>
      </w:r>
      <w:r w:rsidRPr="00795C9B">
        <w:t xml:space="preserve">riving </w:t>
      </w:r>
      <w:r>
        <w:t>p</w:t>
      </w:r>
      <w:r w:rsidRPr="00795C9B">
        <w:t>olicy</w:t>
      </w:r>
      <w:r w:rsidR="005F3CFC">
        <w:t xml:space="preserve">. </w:t>
      </w:r>
      <w:r>
        <w:t xml:space="preserve">Remember that inattention encompasses much more than distractions and cell phone use. Organizations should ensure their policies at a minimum </w:t>
      </w:r>
      <w:proofErr w:type="gramStart"/>
      <w:r>
        <w:t>are in compliance with</w:t>
      </w:r>
      <w:proofErr w:type="gramEnd"/>
      <w:r>
        <w:t xml:space="preserve"> their state and local jurisdiction laws and if applicable, DOT requirements. The policy should be reviewed by </w:t>
      </w:r>
      <w:r w:rsidR="005F3CFC">
        <w:t xml:space="preserve">your </w:t>
      </w:r>
      <w:r>
        <w:t xml:space="preserve">legal counsel before implementation and reviewed annually. Organizations should obtain written confirmation that drivers have reviewed and understand the policy. </w:t>
      </w:r>
    </w:p>
    <w:p w14:paraId="3AC57665" w14:textId="6292F8A0" w:rsidR="00472B2D" w:rsidRPr="00472B2D" w:rsidRDefault="00472B2D" w:rsidP="00472B2D">
      <w:pPr>
        <w:rPr>
          <w:b/>
          <w:bCs/>
          <w:i/>
          <w:iCs/>
        </w:rPr>
      </w:pPr>
      <w:r w:rsidRPr="00472B2D">
        <w:rPr>
          <w:b/>
          <w:bCs/>
        </w:rPr>
        <w:t>Important</w:t>
      </w:r>
      <w:r w:rsidRPr="00472B2D">
        <w:rPr>
          <w:b/>
          <w:bCs/>
          <w:i/>
          <w:iCs/>
        </w:rPr>
        <w:t>: Phone Use</w:t>
      </w:r>
    </w:p>
    <w:p w14:paraId="143FD50B" w14:textId="120447AA" w:rsidR="00472B2D" w:rsidRPr="00472B2D" w:rsidRDefault="00472B2D" w:rsidP="00472B2D">
      <w:r w:rsidRPr="00472B2D">
        <w:t xml:space="preserve">Organizations need to clearly determine their phone policy. We recommend a clear no-phone use policy, including no hands-free use, as outlined </w:t>
      </w:r>
      <w:r>
        <w:t>below</w:t>
      </w:r>
      <w:r w:rsidRPr="00472B2D">
        <w:t>. However, if you have no intent of enforcing a no-phone use policy you should not make it a rule as it could be used against you in an accident (failure to follow your own policy)</w:t>
      </w:r>
      <w:r w:rsidR="005F3CFC">
        <w:t xml:space="preserve">. </w:t>
      </w:r>
      <w:r w:rsidRPr="00472B2D">
        <w:t xml:space="preserve">As an alternative to a no-phone policy </w:t>
      </w:r>
      <w:r w:rsidR="00475F65">
        <w:t xml:space="preserve">(2.a) </w:t>
      </w:r>
      <w:r w:rsidRPr="00472B2D">
        <w:t>the following bullets can be considered.</w:t>
      </w:r>
    </w:p>
    <w:p w14:paraId="1062E8AE" w14:textId="134A801A" w:rsidR="00B7009C" w:rsidRPr="00B27A46" w:rsidRDefault="00472B2D" w:rsidP="004A5340">
      <w:pPr>
        <w:pStyle w:val="ListParagraph"/>
        <w:numPr>
          <w:ilvl w:val="0"/>
          <w:numId w:val="6"/>
        </w:numPr>
        <w:spacing w:after="0" w:line="240" w:lineRule="auto"/>
        <w:rPr>
          <w:i/>
          <w:iCs/>
        </w:rPr>
      </w:pPr>
      <w:r w:rsidRPr="00B27A46">
        <w:rPr>
          <w:i/>
          <w:iCs/>
        </w:rPr>
        <w:t xml:space="preserve">Hands-free business calls may be made or accepted on a limited basis and of a limited duration if they are of an urgent nature and pulling over to a safe parking area is not practical. </w:t>
      </w:r>
      <w:r w:rsidR="00B7009C" w:rsidRPr="00B27A46">
        <w:rPr>
          <w:i/>
          <w:iCs/>
        </w:rPr>
        <w:t>Drivers are encouraged to refuse calls if driving conditions involve hazards like heavy traffic, construction zones, and inclement weather.</w:t>
      </w:r>
    </w:p>
    <w:p w14:paraId="05C19967" w14:textId="76473DA6" w:rsidR="00472B2D" w:rsidRDefault="00472B2D" w:rsidP="00472B2D">
      <w:pPr>
        <w:pStyle w:val="ListParagraph"/>
        <w:numPr>
          <w:ilvl w:val="0"/>
          <w:numId w:val="6"/>
        </w:numPr>
        <w:rPr>
          <w:i/>
          <w:iCs/>
        </w:rPr>
      </w:pPr>
      <w:r w:rsidRPr="00472B2D">
        <w:rPr>
          <w:i/>
          <w:iCs/>
        </w:rPr>
        <w:t xml:space="preserve">Initiation or acceptance of hands-free calls should be limited to one </w:t>
      </w:r>
      <w:r w:rsidR="0020657B">
        <w:rPr>
          <w:i/>
          <w:iCs/>
        </w:rPr>
        <w:t>touch.</w:t>
      </w:r>
    </w:p>
    <w:p w14:paraId="37C89A96" w14:textId="77777777" w:rsidR="0034508D" w:rsidRDefault="0034508D" w:rsidP="0034508D">
      <w:pPr>
        <w:pStyle w:val="ListParagraph"/>
        <w:rPr>
          <w:rFonts w:ascii="Arial" w:eastAsia="Times New Roman" w:hAnsi="Arial" w:cs="Arial"/>
          <w:b/>
          <w:bCs/>
          <w:color w:val="596064"/>
          <w:sz w:val="18"/>
          <w:szCs w:val="18"/>
          <w:shd w:val="clear" w:color="auto" w:fill="FEFEFE"/>
        </w:rPr>
      </w:pPr>
    </w:p>
    <w:p w14:paraId="3E8BBA70" w14:textId="6C2927C8" w:rsidR="0034508D" w:rsidRPr="0034508D" w:rsidRDefault="0034508D" w:rsidP="0034508D">
      <w:pPr>
        <w:pStyle w:val="ListParagraph"/>
        <w:ind w:left="0"/>
        <w:rPr>
          <w:rFonts w:ascii="Arial" w:eastAsia="Times New Roman" w:hAnsi="Arial" w:cs="Arial"/>
          <w:b/>
          <w:bCs/>
          <w:sz w:val="16"/>
          <w:szCs w:val="16"/>
        </w:rPr>
      </w:pPr>
      <w:r w:rsidRPr="0034508D">
        <w:rPr>
          <w:rFonts w:ascii="Arial" w:eastAsia="Times New Roman" w:hAnsi="Arial" w:cs="Arial"/>
          <w:b/>
          <w:bCs/>
          <w:color w:val="596064"/>
          <w:sz w:val="16"/>
          <w:szCs w:val="16"/>
          <w:shd w:val="clear" w:color="auto" w:fill="FEFEFE"/>
        </w:rPr>
        <w:t xml:space="preserve">The information presented here is intended to help users address their own risk management and insurance needs. It does not and is not intended to provide legal advice. Nationwide, its </w:t>
      </w:r>
      <w:proofErr w:type="gramStart"/>
      <w:r w:rsidRPr="0034508D">
        <w:rPr>
          <w:rFonts w:ascii="Arial" w:eastAsia="Times New Roman" w:hAnsi="Arial" w:cs="Arial"/>
          <w:b/>
          <w:bCs/>
          <w:color w:val="596064"/>
          <w:sz w:val="16"/>
          <w:szCs w:val="16"/>
          <w:shd w:val="clear" w:color="auto" w:fill="FEFEFE"/>
        </w:rPr>
        <w:t>affiliates</w:t>
      </w:r>
      <w:proofErr w:type="gramEnd"/>
      <w:r w:rsidRPr="0034508D">
        <w:rPr>
          <w:rFonts w:ascii="Arial" w:eastAsia="Times New Roman" w:hAnsi="Arial" w:cs="Arial"/>
          <w:b/>
          <w:bCs/>
          <w:color w:val="596064"/>
          <w:sz w:val="16"/>
          <w:szCs w:val="16"/>
          <w:shd w:val="clear" w:color="auto" w:fill="FEFEFE"/>
        </w:rPr>
        <w:t xml:space="preserve">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w:t>
      </w:r>
      <w:proofErr w:type="gramStart"/>
      <w:r w:rsidRPr="0034508D">
        <w:rPr>
          <w:rFonts w:ascii="Arial" w:eastAsia="Times New Roman" w:hAnsi="Arial" w:cs="Arial"/>
          <w:b/>
          <w:bCs/>
          <w:color w:val="596064"/>
          <w:sz w:val="16"/>
          <w:szCs w:val="16"/>
          <w:shd w:val="clear" w:color="auto" w:fill="FEFEFE"/>
        </w:rPr>
        <w:t>all of</w:t>
      </w:r>
      <w:proofErr w:type="gramEnd"/>
      <w:r w:rsidRPr="0034508D">
        <w:rPr>
          <w:rFonts w:ascii="Arial" w:eastAsia="Times New Roman" w:hAnsi="Arial" w:cs="Arial"/>
          <w:b/>
          <w:bCs/>
          <w:color w:val="596064"/>
          <w:sz w:val="16"/>
          <w:szCs w:val="16"/>
          <w:shd w:val="clear" w:color="auto" w:fill="FEFEFE"/>
        </w:rPr>
        <w:t xml:space="preserve"> the suggestions. Nothing here is intended to imply a grant of coverage</w:t>
      </w:r>
      <w:r w:rsidR="005F3CFC">
        <w:rPr>
          <w:rFonts w:ascii="Arial" w:eastAsia="Times New Roman" w:hAnsi="Arial" w:cs="Arial"/>
          <w:b/>
          <w:bCs/>
          <w:color w:val="596064"/>
          <w:sz w:val="16"/>
          <w:szCs w:val="16"/>
          <w:shd w:val="clear" w:color="auto" w:fill="FEFEFE"/>
        </w:rPr>
        <w:t xml:space="preserve">. </w:t>
      </w:r>
      <w:r w:rsidRPr="0034508D">
        <w:rPr>
          <w:rFonts w:ascii="Arial" w:eastAsia="Times New Roman" w:hAnsi="Arial" w:cs="Arial"/>
          <w:b/>
          <w:bCs/>
          <w:color w:val="596064"/>
          <w:sz w:val="16"/>
          <w:szCs w:val="16"/>
          <w:shd w:val="clear" w:color="auto" w:fill="FEFEFE"/>
        </w:rPr>
        <w:t xml:space="preserve">Each claim will be evaluated on its own merits and circumstances. Nationwide, Nationwide is on your side, and the Nationwide N and Eagle are service marks of Nationwide Mutual Insurance Company. © 2022 Nationwide       </w:t>
      </w:r>
      <w:r w:rsidR="00475F65">
        <w:rPr>
          <w:rFonts w:ascii="Arial" w:eastAsia="Times New Roman" w:hAnsi="Arial" w:cs="Arial"/>
          <w:b/>
          <w:bCs/>
          <w:color w:val="596064"/>
          <w:sz w:val="16"/>
          <w:szCs w:val="16"/>
          <w:shd w:val="clear" w:color="auto" w:fill="FEFEFE"/>
        </w:rPr>
        <w:t xml:space="preserve">      </w:t>
      </w:r>
      <w:r w:rsidRPr="0034508D">
        <w:rPr>
          <w:rFonts w:ascii="Arial" w:eastAsia="Times New Roman" w:hAnsi="Arial" w:cs="Arial"/>
          <w:b/>
          <w:bCs/>
          <w:color w:val="596064"/>
          <w:sz w:val="16"/>
          <w:szCs w:val="16"/>
          <w:shd w:val="clear" w:color="auto" w:fill="FEFEFE"/>
        </w:rPr>
        <w:t xml:space="preserve">     2/10/2022</w:t>
      </w:r>
    </w:p>
    <w:p w14:paraId="76456797" w14:textId="77777777" w:rsidR="0034508D" w:rsidRPr="0034508D" w:rsidRDefault="0034508D" w:rsidP="0034508D">
      <w:pPr>
        <w:spacing w:after="0" w:line="240" w:lineRule="auto"/>
        <w:rPr>
          <w:i/>
          <w:iCs/>
        </w:rPr>
      </w:pPr>
    </w:p>
    <w:p w14:paraId="56C68077" w14:textId="415EF201" w:rsidR="00472B2D" w:rsidRPr="00795C9B" w:rsidRDefault="005F3CFC" w:rsidP="00472B2D">
      <w:pPr>
        <w:jc w:val="center"/>
        <w:rPr>
          <w:b/>
          <w:bCs/>
          <w:color w:val="4472C4" w:themeColor="accent1"/>
          <w:sz w:val="24"/>
          <w:szCs w:val="24"/>
        </w:rPr>
      </w:pPr>
      <w:r>
        <w:rPr>
          <w:b/>
          <w:bCs/>
          <w:color w:val="4472C4" w:themeColor="accent1"/>
          <w:sz w:val="24"/>
          <w:szCs w:val="24"/>
        </w:rPr>
        <w:t xml:space="preserve">Sample </w:t>
      </w:r>
      <w:r w:rsidR="00472B2D" w:rsidRPr="00795C9B">
        <w:rPr>
          <w:b/>
          <w:bCs/>
          <w:color w:val="4472C4" w:themeColor="accent1"/>
          <w:sz w:val="24"/>
          <w:szCs w:val="24"/>
        </w:rPr>
        <w:t>Attentive Driving Policy</w:t>
      </w:r>
    </w:p>
    <w:p w14:paraId="183B2C9A" w14:textId="4CFAAD4A" w:rsidR="00472B2D" w:rsidRPr="00795C9B" w:rsidRDefault="00472B2D" w:rsidP="00472B2D">
      <w:pPr>
        <w:rPr>
          <w:i/>
          <w:iCs/>
          <w:color w:val="4472C4" w:themeColor="accent1"/>
        </w:rPr>
      </w:pPr>
      <w:r w:rsidRPr="00795C9B">
        <w:rPr>
          <w:i/>
          <w:iCs/>
          <w:color w:val="4472C4" w:themeColor="accent1"/>
        </w:rPr>
        <w:t>Driver inattention is a causal factor in a high percentage of vehicle crashes</w:t>
      </w:r>
      <w:r w:rsidR="005F3CFC">
        <w:rPr>
          <w:i/>
          <w:iCs/>
          <w:color w:val="4472C4" w:themeColor="accent1"/>
        </w:rPr>
        <w:t xml:space="preserve">. </w:t>
      </w:r>
      <w:r w:rsidRPr="00795C9B">
        <w:rPr>
          <w:i/>
          <w:iCs/>
          <w:color w:val="4472C4" w:themeColor="accent1"/>
        </w:rPr>
        <w:t>Inattention generally occurs when a driver is daydreaming, takes their eyes off the forward roadway, performs non-driving tasks (distracted</w:t>
      </w:r>
      <w:proofErr w:type="gramStart"/>
      <w:r w:rsidRPr="00795C9B">
        <w:rPr>
          <w:i/>
          <w:iCs/>
          <w:color w:val="4472C4" w:themeColor="accent1"/>
        </w:rPr>
        <w:t>)</w:t>
      </w:r>
      <w:proofErr w:type="gramEnd"/>
      <w:r w:rsidRPr="00795C9B">
        <w:rPr>
          <w:i/>
          <w:iCs/>
          <w:color w:val="4472C4" w:themeColor="accent1"/>
        </w:rPr>
        <w:t xml:space="preserve"> or is impaired such as when drowsy</w:t>
      </w:r>
      <w:r w:rsidR="00B7009C">
        <w:rPr>
          <w:i/>
          <w:iCs/>
          <w:color w:val="4472C4" w:themeColor="accent1"/>
        </w:rPr>
        <w:t xml:space="preserve"> or</w:t>
      </w:r>
      <w:r w:rsidRPr="00795C9B">
        <w:rPr>
          <w:i/>
          <w:iCs/>
          <w:color w:val="4472C4" w:themeColor="accent1"/>
        </w:rPr>
        <w:t xml:space="preserve"> </w:t>
      </w:r>
      <w:r w:rsidR="00CE6977" w:rsidRPr="00795C9B">
        <w:rPr>
          <w:i/>
          <w:iCs/>
          <w:color w:val="4472C4" w:themeColor="accent1"/>
        </w:rPr>
        <w:t>ill</w:t>
      </w:r>
      <w:r w:rsidR="005F3CFC">
        <w:rPr>
          <w:i/>
          <w:iCs/>
          <w:color w:val="4472C4" w:themeColor="accent1"/>
        </w:rPr>
        <w:t xml:space="preserve">. </w:t>
      </w:r>
      <w:r w:rsidRPr="00795C9B">
        <w:rPr>
          <w:i/>
          <w:iCs/>
          <w:color w:val="4472C4" w:themeColor="accent1"/>
        </w:rPr>
        <w:t xml:space="preserve">To limit crashes due to inattention drivers are expected to adhere to the following policies:  </w:t>
      </w:r>
    </w:p>
    <w:p w14:paraId="312ABB7B" w14:textId="5EF8AF88" w:rsidR="00472B2D" w:rsidRPr="00795C9B" w:rsidRDefault="00472B2D" w:rsidP="00475F65">
      <w:pPr>
        <w:pStyle w:val="ListParagraph"/>
        <w:numPr>
          <w:ilvl w:val="0"/>
          <w:numId w:val="25"/>
        </w:numPr>
        <w:rPr>
          <w:i/>
          <w:iCs/>
          <w:color w:val="4472C4" w:themeColor="accent1"/>
        </w:rPr>
      </w:pPr>
      <w:r w:rsidRPr="00795C9B">
        <w:rPr>
          <w:i/>
          <w:iCs/>
          <w:color w:val="4472C4" w:themeColor="accent1"/>
        </w:rPr>
        <w:t xml:space="preserve">Drivers should focus their mind on their driving duties to prevent daydreaming. </w:t>
      </w:r>
      <w:r w:rsidR="00475F65">
        <w:rPr>
          <w:i/>
          <w:iCs/>
          <w:color w:val="4472C4" w:themeColor="accent1"/>
        </w:rPr>
        <w:t xml:space="preserve">Scan ahead and watch for impending hazards </w:t>
      </w:r>
      <w:r w:rsidR="00BD5B6B">
        <w:rPr>
          <w:i/>
          <w:iCs/>
          <w:color w:val="4472C4" w:themeColor="accent1"/>
        </w:rPr>
        <w:t xml:space="preserve">and the </w:t>
      </w:r>
      <w:r w:rsidR="00475F65">
        <w:rPr>
          <w:i/>
          <w:iCs/>
          <w:color w:val="4472C4" w:themeColor="accent1"/>
        </w:rPr>
        <w:t>mistakes or aggressi</w:t>
      </w:r>
      <w:r w:rsidR="00BD5B6B">
        <w:rPr>
          <w:i/>
          <w:iCs/>
          <w:color w:val="4472C4" w:themeColor="accent1"/>
        </w:rPr>
        <w:t>ve</w:t>
      </w:r>
      <w:r w:rsidR="00475F65">
        <w:rPr>
          <w:i/>
          <w:iCs/>
          <w:color w:val="4472C4" w:themeColor="accent1"/>
        </w:rPr>
        <w:t xml:space="preserve"> driving o</w:t>
      </w:r>
      <w:r w:rsidR="00BD5B6B">
        <w:rPr>
          <w:i/>
          <w:iCs/>
          <w:color w:val="4472C4" w:themeColor="accent1"/>
        </w:rPr>
        <w:t>f</w:t>
      </w:r>
      <w:r w:rsidR="00475F65">
        <w:rPr>
          <w:i/>
          <w:iCs/>
          <w:color w:val="4472C4" w:themeColor="accent1"/>
        </w:rPr>
        <w:t xml:space="preserve"> </w:t>
      </w:r>
      <w:r w:rsidR="00BD5B6B">
        <w:rPr>
          <w:i/>
          <w:iCs/>
          <w:color w:val="4472C4" w:themeColor="accent1"/>
        </w:rPr>
        <w:t>others.</w:t>
      </w:r>
      <w:r w:rsidR="00475F65">
        <w:rPr>
          <w:i/>
          <w:iCs/>
          <w:color w:val="4472C4" w:themeColor="accent1"/>
        </w:rPr>
        <w:t xml:space="preserve"> </w:t>
      </w:r>
    </w:p>
    <w:p w14:paraId="4F67259D" w14:textId="77777777" w:rsidR="00472B2D" w:rsidRPr="00795C9B" w:rsidRDefault="00472B2D" w:rsidP="00475F65">
      <w:pPr>
        <w:pStyle w:val="ListParagraph"/>
        <w:numPr>
          <w:ilvl w:val="0"/>
          <w:numId w:val="25"/>
        </w:numPr>
        <w:rPr>
          <w:i/>
          <w:iCs/>
          <w:color w:val="4472C4" w:themeColor="accent1"/>
        </w:rPr>
      </w:pPr>
      <w:r w:rsidRPr="00795C9B">
        <w:rPr>
          <w:i/>
          <w:iCs/>
          <w:color w:val="4472C4" w:themeColor="accent1"/>
        </w:rPr>
        <w:t xml:space="preserve">Drivers should keep their eyes focused primarily on the forward roadway. </w:t>
      </w:r>
    </w:p>
    <w:p w14:paraId="431AE043" w14:textId="77777777" w:rsidR="00472B2D" w:rsidRPr="00795C9B" w:rsidRDefault="00472B2D" w:rsidP="00475F65">
      <w:pPr>
        <w:pStyle w:val="ListParagraph"/>
        <w:numPr>
          <w:ilvl w:val="1"/>
          <w:numId w:val="25"/>
        </w:numPr>
        <w:rPr>
          <w:i/>
          <w:iCs/>
          <w:color w:val="4472C4" w:themeColor="accent1"/>
        </w:rPr>
      </w:pPr>
      <w:r w:rsidRPr="00795C9B">
        <w:rPr>
          <w:i/>
          <w:iCs/>
          <w:color w:val="4472C4" w:themeColor="accent1"/>
        </w:rPr>
        <w:t xml:space="preserve">Mirror checks should be frequent but of a short duration – about one second. </w:t>
      </w:r>
    </w:p>
    <w:p w14:paraId="791A3737" w14:textId="77777777" w:rsidR="00472B2D" w:rsidRPr="00795C9B" w:rsidRDefault="00472B2D" w:rsidP="00475F65">
      <w:pPr>
        <w:pStyle w:val="ListParagraph"/>
        <w:numPr>
          <w:ilvl w:val="1"/>
          <w:numId w:val="25"/>
        </w:numPr>
        <w:rPr>
          <w:b/>
          <w:i/>
          <w:iCs/>
          <w:color w:val="4472C4" w:themeColor="accent1"/>
        </w:rPr>
      </w:pPr>
      <w:r w:rsidRPr="00795C9B">
        <w:rPr>
          <w:i/>
          <w:iCs/>
          <w:color w:val="4472C4" w:themeColor="accent1"/>
        </w:rPr>
        <w:t>Eyes should return to the forward roadway before checking another mirror.</w:t>
      </w:r>
    </w:p>
    <w:p w14:paraId="7DC520C1" w14:textId="77777777" w:rsidR="00472B2D" w:rsidRPr="00795C9B" w:rsidRDefault="00472B2D" w:rsidP="00475F65">
      <w:pPr>
        <w:pStyle w:val="ListParagraph"/>
        <w:numPr>
          <w:ilvl w:val="0"/>
          <w:numId w:val="25"/>
        </w:numPr>
        <w:rPr>
          <w:i/>
          <w:iCs/>
          <w:color w:val="4472C4" w:themeColor="accent1"/>
        </w:rPr>
      </w:pPr>
      <w:r w:rsidRPr="00795C9B">
        <w:rPr>
          <w:i/>
          <w:iCs/>
          <w:color w:val="4472C4" w:themeColor="accent1"/>
        </w:rPr>
        <w:t xml:space="preserve">Phone use </w:t>
      </w:r>
    </w:p>
    <w:p w14:paraId="0E867BFC" w14:textId="2DD833D6" w:rsidR="00472B2D" w:rsidRPr="00795C9B" w:rsidRDefault="00472B2D" w:rsidP="00475F65">
      <w:pPr>
        <w:pStyle w:val="ListParagraph"/>
        <w:numPr>
          <w:ilvl w:val="1"/>
          <w:numId w:val="25"/>
        </w:numPr>
        <w:rPr>
          <w:i/>
          <w:iCs/>
          <w:color w:val="4472C4" w:themeColor="accent1"/>
        </w:rPr>
      </w:pPr>
      <w:r w:rsidRPr="00795C9B">
        <w:rPr>
          <w:i/>
          <w:iCs/>
          <w:color w:val="4472C4" w:themeColor="accent1"/>
        </w:rPr>
        <w:t xml:space="preserve">Drivers are prohibited from making or receiving phone calls unless safely parked or </w:t>
      </w:r>
      <w:r w:rsidR="00B7009C">
        <w:rPr>
          <w:i/>
          <w:iCs/>
          <w:color w:val="4472C4" w:themeColor="accent1"/>
        </w:rPr>
        <w:t xml:space="preserve">in </w:t>
      </w:r>
      <w:r w:rsidRPr="00795C9B">
        <w:rPr>
          <w:i/>
          <w:iCs/>
          <w:color w:val="4472C4" w:themeColor="accent1"/>
        </w:rPr>
        <w:t xml:space="preserve">an emergency. </w:t>
      </w:r>
    </w:p>
    <w:p w14:paraId="584F2D5D" w14:textId="77777777" w:rsidR="00472B2D" w:rsidRPr="00795C9B" w:rsidRDefault="00472B2D" w:rsidP="00475F65">
      <w:pPr>
        <w:pStyle w:val="ListParagraph"/>
        <w:numPr>
          <w:ilvl w:val="1"/>
          <w:numId w:val="25"/>
        </w:numPr>
        <w:rPr>
          <w:i/>
          <w:iCs/>
          <w:color w:val="4472C4" w:themeColor="accent1"/>
        </w:rPr>
      </w:pPr>
      <w:r w:rsidRPr="00795C9B">
        <w:rPr>
          <w:i/>
          <w:iCs/>
          <w:color w:val="4472C4" w:themeColor="accent1"/>
        </w:rPr>
        <w:t>Drivers are prohibited from texting, browsing the internet, interacting with social media, etc., even if the interaction is hands-free. This includes voice-to-text messaging.</w:t>
      </w:r>
    </w:p>
    <w:p w14:paraId="708C392D" w14:textId="77777777" w:rsidR="00472B2D" w:rsidRPr="00795C9B" w:rsidRDefault="00472B2D" w:rsidP="00475F65">
      <w:pPr>
        <w:pStyle w:val="ListParagraph"/>
        <w:numPr>
          <w:ilvl w:val="1"/>
          <w:numId w:val="25"/>
        </w:numPr>
        <w:rPr>
          <w:i/>
          <w:iCs/>
          <w:color w:val="4472C4" w:themeColor="accent1"/>
        </w:rPr>
      </w:pPr>
      <w:r w:rsidRPr="00795C9B">
        <w:rPr>
          <w:i/>
          <w:iCs/>
          <w:color w:val="4472C4" w:themeColor="accent1"/>
        </w:rPr>
        <w:t>Smart phones, equipped with these features, should be set-up to:</w:t>
      </w:r>
    </w:p>
    <w:p w14:paraId="4E7A5EDF" w14:textId="77777777" w:rsidR="00472B2D" w:rsidRPr="00795C9B" w:rsidRDefault="00472B2D" w:rsidP="00475F65">
      <w:pPr>
        <w:pStyle w:val="ListParagraph"/>
        <w:numPr>
          <w:ilvl w:val="2"/>
          <w:numId w:val="25"/>
        </w:numPr>
        <w:rPr>
          <w:i/>
          <w:iCs/>
          <w:color w:val="4472C4" w:themeColor="accent1"/>
        </w:rPr>
      </w:pPr>
      <w:r w:rsidRPr="00795C9B">
        <w:rPr>
          <w:i/>
          <w:iCs/>
          <w:color w:val="4472C4" w:themeColor="accent1"/>
        </w:rPr>
        <w:t>Notify the caller or texter that you are driving and will respond when safely parked.</w:t>
      </w:r>
    </w:p>
    <w:p w14:paraId="47965DAA" w14:textId="77777777" w:rsidR="00472B2D" w:rsidRPr="00795C9B" w:rsidRDefault="00472B2D" w:rsidP="00475F65">
      <w:pPr>
        <w:pStyle w:val="ListParagraph"/>
        <w:numPr>
          <w:ilvl w:val="2"/>
          <w:numId w:val="25"/>
        </w:numPr>
        <w:rPr>
          <w:i/>
          <w:iCs/>
          <w:color w:val="4472C4" w:themeColor="accent1"/>
        </w:rPr>
      </w:pPr>
      <w:r w:rsidRPr="00795C9B">
        <w:rPr>
          <w:i/>
          <w:iCs/>
          <w:color w:val="4472C4" w:themeColor="accent1"/>
        </w:rPr>
        <w:t>Go directly to voicemail.</w:t>
      </w:r>
    </w:p>
    <w:p w14:paraId="6E9415A0" w14:textId="0AF8B17E" w:rsidR="00472B2D" w:rsidRPr="00795C9B" w:rsidRDefault="00472B2D" w:rsidP="00475F65">
      <w:pPr>
        <w:pStyle w:val="ListParagraph"/>
        <w:numPr>
          <w:ilvl w:val="1"/>
          <w:numId w:val="25"/>
        </w:numPr>
        <w:rPr>
          <w:i/>
          <w:iCs/>
          <w:color w:val="4472C4" w:themeColor="accent1"/>
        </w:rPr>
      </w:pPr>
      <w:r w:rsidRPr="00795C9B">
        <w:rPr>
          <w:i/>
          <w:iCs/>
          <w:color w:val="4472C4" w:themeColor="accent1"/>
        </w:rPr>
        <w:t xml:space="preserve">Co-workers riding in the vehicle should take or make a call for </w:t>
      </w:r>
      <w:r w:rsidR="00CA0C74">
        <w:rPr>
          <w:i/>
          <w:iCs/>
          <w:color w:val="4472C4" w:themeColor="accent1"/>
        </w:rPr>
        <w:t>drivers if needed</w:t>
      </w:r>
      <w:r w:rsidRPr="00795C9B">
        <w:rPr>
          <w:i/>
          <w:iCs/>
          <w:color w:val="4472C4" w:themeColor="accent1"/>
        </w:rPr>
        <w:t>.</w:t>
      </w:r>
    </w:p>
    <w:p w14:paraId="420E9748" w14:textId="1A3F684F" w:rsidR="00472B2D" w:rsidRPr="00795C9B" w:rsidRDefault="00472B2D" w:rsidP="00475F65">
      <w:pPr>
        <w:pStyle w:val="ListParagraph"/>
        <w:numPr>
          <w:ilvl w:val="0"/>
          <w:numId w:val="25"/>
        </w:numPr>
        <w:rPr>
          <w:i/>
          <w:iCs/>
          <w:color w:val="4472C4" w:themeColor="accent1"/>
        </w:rPr>
      </w:pPr>
      <w:r w:rsidRPr="00795C9B">
        <w:rPr>
          <w:i/>
          <w:iCs/>
          <w:color w:val="4472C4" w:themeColor="accent1"/>
        </w:rPr>
        <w:lastRenderedPageBreak/>
        <w:t xml:space="preserve">Drivers should limit other distracting </w:t>
      </w:r>
      <w:r w:rsidR="00CA0C74">
        <w:rPr>
          <w:i/>
          <w:iCs/>
          <w:color w:val="4472C4" w:themeColor="accent1"/>
        </w:rPr>
        <w:t>non-driving tasks</w:t>
      </w:r>
      <w:r w:rsidRPr="00795C9B">
        <w:rPr>
          <w:i/>
          <w:iCs/>
          <w:color w:val="4472C4" w:themeColor="accent1"/>
        </w:rPr>
        <w:t xml:space="preserve"> while the vehicle is in motion. This include</w:t>
      </w:r>
      <w:r w:rsidR="00B7009C">
        <w:rPr>
          <w:i/>
          <w:iCs/>
          <w:color w:val="4472C4" w:themeColor="accent1"/>
        </w:rPr>
        <w:t>s</w:t>
      </w:r>
      <w:r w:rsidRPr="00795C9B">
        <w:rPr>
          <w:i/>
          <w:iCs/>
          <w:color w:val="4472C4" w:themeColor="accent1"/>
        </w:rPr>
        <w:t xml:space="preserve"> eating, reading, reaching for objects, interacting with vehicle infotainment systems, etc. </w:t>
      </w:r>
    </w:p>
    <w:p w14:paraId="44CE7E3F" w14:textId="77777777" w:rsidR="00472B2D" w:rsidRPr="00795C9B" w:rsidRDefault="00472B2D" w:rsidP="00475F65">
      <w:pPr>
        <w:pStyle w:val="ListParagraph"/>
        <w:numPr>
          <w:ilvl w:val="1"/>
          <w:numId w:val="25"/>
        </w:numPr>
        <w:rPr>
          <w:i/>
          <w:iCs/>
          <w:color w:val="4472C4" w:themeColor="accent1"/>
        </w:rPr>
      </w:pPr>
      <w:r w:rsidRPr="00795C9B">
        <w:rPr>
          <w:i/>
          <w:iCs/>
          <w:color w:val="4472C4" w:themeColor="accent1"/>
        </w:rPr>
        <w:t>Perform these tasks prior to departing</w:t>
      </w:r>
    </w:p>
    <w:p w14:paraId="40CE0F9A" w14:textId="1D582550" w:rsidR="00472B2D" w:rsidRPr="00795C9B" w:rsidRDefault="00472B2D" w:rsidP="00475F65">
      <w:pPr>
        <w:pStyle w:val="ListParagraph"/>
        <w:numPr>
          <w:ilvl w:val="1"/>
          <w:numId w:val="25"/>
        </w:numPr>
        <w:rPr>
          <w:i/>
          <w:iCs/>
          <w:color w:val="4472C4" w:themeColor="accent1"/>
        </w:rPr>
      </w:pPr>
      <w:r w:rsidRPr="00795C9B">
        <w:rPr>
          <w:i/>
          <w:iCs/>
          <w:color w:val="4472C4" w:themeColor="accent1"/>
        </w:rPr>
        <w:t xml:space="preserve">Set-up </w:t>
      </w:r>
      <w:r w:rsidR="00CA0C74">
        <w:rPr>
          <w:i/>
          <w:iCs/>
          <w:color w:val="4472C4" w:themeColor="accent1"/>
        </w:rPr>
        <w:t xml:space="preserve">your </w:t>
      </w:r>
      <w:r w:rsidRPr="00795C9B">
        <w:rPr>
          <w:i/>
          <w:iCs/>
          <w:color w:val="4472C4" w:themeColor="accent1"/>
        </w:rPr>
        <w:t>navigation system, your music, etc. while parked</w:t>
      </w:r>
    </w:p>
    <w:p w14:paraId="3C39632F" w14:textId="22CD76C8" w:rsidR="00472B2D" w:rsidRDefault="00472B2D" w:rsidP="00475F65">
      <w:pPr>
        <w:pStyle w:val="ListParagraph"/>
        <w:numPr>
          <w:ilvl w:val="1"/>
          <w:numId w:val="25"/>
        </w:numPr>
        <w:rPr>
          <w:i/>
          <w:iCs/>
          <w:color w:val="4472C4" w:themeColor="accent1"/>
        </w:rPr>
      </w:pPr>
      <w:r w:rsidRPr="00795C9B">
        <w:rPr>
          <w:i/>
          <w:iCs/>
          <w:color w:val="4472C4" w:themeColor="accent1"/>
        </w:rPr>
        <w:t xml:space="preserve">Keep items you may need nearby so you are not reaching for them. </w:t>
      </w:r>
    </w:p>
    <w:p w14:paraId="3F52A4BB" w14:textId="1231C43B" w:rsidR="00B7009C" w:rsidRPr="00B7009C" w:rsidRDefault="00B7009C" w:rsidP="00A40B28">
      <w:pPr>
        <w:pStyle w:val="ListParagraph"/>
        <w:numPr>
          <w:ilvl w:val="1"/>
          <w:numId w:val="25"/>
        </w:numPr>
        <w:rPr>
          <w:i/>
          <w:iCs/>
          <w:color w:val="4472C4" w:themeColor="accent1"/>
        </w:rPr>
      </w:pPr>
      <w:r w:rsidRPr="00B7009C">
        <w:rPr>
          <w:i/>
          <w:iCs/>
          <w:color w:val="4472C4" w:themeColor="accent1"/>
        </w:rPr>
        <w:t xml:space="preserve">Keep the cab </w:t>
      </w:r>
      <w:r>
        <w:rPr>
          <w:i/>
          <w:iCs/>
          <w:color w:val="4472C4" w:themeColor="accent1"/>
        </w:rPr>
        <w:t xml:space="preserve">and dashboard </w:t>
      </w:r>
      <w:r w:rsidRPr="00B7009C">
        <w:rPr>
          <w:i/>
          <w:iCs/>
          <w:color w:val="4472C4" w:themeColor="accent1"/>
        </w:rPr>
        <w:t>free of loose items</w:t>
      </w:r>
      <w:r>
        <w:rPr>
          <w:i/>
          <w:iCs/>
          <w:color w:val="4472C4" w:themeColor="accent1"/>
        </w:rPr>
        <w:t xml:space="preserve"> that may fall, causing a distraction.</w:t>
      </w:r>
    </w:p>
    <w:p w14:paraId="009ECC8F" w14:textId="77777777" w:rsidR="00472B2D" w:rsidRPr="00795C9B" w:rsidRDefault="00472B2D" w:rsidP="00475F65">
      <w:pPr>
        <w:pStyle w:val="ListParagraph"/>
        <w:numPr>
          <w:ilvl w:val="0"/>
          <w:numId w:val="25"/>
        </w:numPr>
        <w:rPr>
          <w:i/>
          <w:iCs/>
          <w:color w:val="4472C4" w:themeColor="accent1"/>
        </w:rPr>
      </w:pPr>
      <w:r w:rsidRPr="00795C9B">
        <w:rPr>
          <w:i/>
          <w:iCs/>
          <w:color w:val="4472C4" w:themeColor="accent1"/>
        </w:rPr>
        <w:t>Drivers should be well rested, healthy, and alert while driving</w:t>
      </w:r>
    </w:p>
    <w:p w14:paraId="671A2C30" w14:textId="77777777" w:rsidR="00472B2D" w:rsidRPr="00795C9B" w:rsidRDefault="00472B2D" w:rsidP="00475F65">
      <w:pPr>
        <w:pStyle w:val="ListParagraph"/>
        <w:numPr>
          <w:ilvl w:val="1"/>
          <w:numId w:val="25"/>
        </w:numPr>
        <w:rPr>
          <w:i/>
          <w:iCs/>
          <w:color w:val="4472C4" w:themeColor="accent1"/>
        </w:rPr>
      </w:pPr>
      <w:r w:rsidRPr="00795C9B">
        <w:rPr>
          <w:i/>
          <w:iCs/>
          <w:color w:val="4472C4" w:themeColor="accent1"/>
        </w:rPr>
        <w:t>Drivers should plan periodic rest breaks into their schedule to reduce fatigue. Generally, a driver should not drive more than two hours without taking a short break.</w:t>
      </w:r>
    </w:p>
    <w:p w14:paraId="721E2E03" w14:textId="165787ED" w:rsidR="00472B2D" w:rsidRPr="00795C9B" w:rsidRDefault="00472B2D" w:rsidP="00475F65">
      <w:pPr>
        <w:pStyle w:val="ListParagraph"/>
        <w:numPr>
          <w:ilvl w:val="1"/>
          <w:numId w:val="25"/>
        </w:numPr>
        <w:rPr>
          <w:i/>
          <w:iCs/>
          <w:color w:val="4472C4" w:themeColor="accent1"/>
        </w:rPr>
      </w:pPr>
      <w:r w:rsidRPr="00795C9B">
        <w:rPr>
          <w:i/>
          <w:iCs/>
          <w:color w:val="4472C4" w:themeColor="accent1"/>
        </w:rPr>
        <w:t>Drivers should be aware of their total time on-the-job and stop driving when they become drowsy.</w:t>
      </w:r>
    </w:p>
    <w:p w14:paraId="0AD82912" w14:textId="5C63F60F" w:rsidR="00472B2D" w:rsidRDefault="00472B2D" w:rsidP="00475F65">
      <w:pPr>
        <w:pStyle w:val="ListParagraph"/>
        <w:numPr>
          <w:ilvl w:val="1"/>
          <w:numId w:val="25"/>
        </w:numPr>
        <w:rPr>
          <w:i/>
          <w:iCs/>
          <w:color w:val="4472C4" w:themeColor="accent1"/>
        </w:rPr>
      </w:pPr>
      <w:r w:rsidRPr="00795C9B">
        <w:rPr>
          <w:i/>
          <w:iCs/>
          <w:color w:val="4472C4" w:themeColor="accent1"/>
        </w:rPr>
        <w:t xml:space="preserve">DOT-regulated drivers must comply with applicable hours-of-service requirements. </w:t>
      </w:r>
    </w:p>
    <w:p w14:paraId="1004F0CE" w14:textId="00FBB180" w:rsidR="00B27A46" w:rsidRPr="00B27A46" w:rsidRDefault="00B27A46" w:rsidP="00B27A46">
      <w:pPr>
        <w:pStyle w:val="ListParagraph"/>
        <w:numPr>
          <w:ilvl w:val="1"/>
          <w:numId w:val="25"/>
        </w:numPr>
        <w:rPr>
          <w:i/>
          <w:iCs/>
          <w:color w:val="4472C4" w:themeColor="accent1"/>
        </w:rPr>
      </w:pPr>
      <w:r w:rsidRPr="00B27A46">
        <w:rPr>
          <w:i/>
          <w:iCs/>
          <w:color w:val="4472C4" w:themeColor="accent1"/>
        </w:rPr>
        <w:t xml:space="preserve">Drivers should be aware of the effects of </w:t>
      </w:r>
      <w:proofErr w:type="gramStart"/>
      <w:r w:rsidRPr="00B27A46">
        <w:rPr>
          <w:i/>
          <w:iCs/>
          <w:color w:val="4472C4" w:themeColor="accent1"/>
        </w:rPr>
        <w:t>over-the-counter</w:t>
      </w:r>
      <w:proofErr w:type="gramEnd"/>
      <w:r w:rsidRPr="00B27A46">
        <w:rPr>
          <w:i/>
          <w:iCs/>
          <w:color w:val="4472C4" w:themeColor="accent1"/>
        </w:rPr>
        <w:t xml:space="preserve"> or prescribed medications on driving and follow precautions outlined, including not driving. Drivers should inform doctors of their driving responsibilities when receiving any medical </w:t>
      </w:r>
      <w:r>
        <w:rPr>
          <w:i/>
          <w:iCs/>
          <w:color w:val="4472C4" w:themeColor="accent1"/>
        </w:rPr>
        <w:t>consultation</w:t>
      </w:r>
      <w:r w:rsidRPr="00B27A46">
        <w:rPr>
          <w:i/>
          <w:iCs/>
          <w:color w:val="4472C4" w:themeColor="accent1"/>
        </w:rPr>
        <w:t>.</w:t>
      </w:r>
    </w:p>
    <w:p w14:paraId="21AC544F" w14:textId="575337A9" w:rsidR="00472B2D" w:rsidRPr="00795C9B" w:rsidRDefault="00472B2D" w:rsidP="00475F65">
      <w:pPr>
        <w:pStyle w:val="ListParagraph"/>
        <w:numPr>
          <w:ilvl w:val="1"/>
          <w:numId w:val="25"/>
        </w:numPr>
        <w:rPr>
          <w:i/>
          <w:iCs/>
          <w:color w:val="4472C4" w:themeColor="accent1"/>
        </w:rPr>
      </w:pPr>
      <w:r w:rsidRPr="00795C9B">
        <w:rPr>
          <w:i/>
          <w:iCs/>
          <w:color w:val="4472C4" w:themeColor="accent1"/>
        </w:rPr>
        <w:t>Drivers should stop driving and find a safe place to park if an illness</w:t>
      </w:r>
      <w:r w:rsidR="00CA0C74">
        <w:rPr>
          <w:i/>
          <w:iCs/>
          <w:color w:val="4472C4" w:themeColor="accent1"/>
        </w:rPr>
        <w:t xml:space="preserve"> or drowsiness</w:t>
      </w:r>
      <w:r w:rsidRPr="00795C9B">
        <w:rPr>
          <w:i/>
          <w:iCs/>
          <w:color w:val="4472C4" w:themeColor="accent1"/>
        </w:rPr>
        <w:t xml:space="preserve"> renders them incapable of driving safely</w:t>
      </w:r>
      <w:r w:rsidR="005F3CFC">
        <w:rPr>
          <w:i/>
          <w:iCs/>
          <w:color w:val="4472C4" w:themeColor="accent1"/>
        </w:rPr>
        <w:t xml:space="preserve">. </w:t>
      </w:r>
    </w:p>
    <w:p w14:paraId="271BBB26" w14:textId="6C259B45" w:rsidR="00472B2D" w:rsidRPr="00475F65" w:rsidRDefault="00472B2D" w:rsidP="00CA0C74">
      <w:pPr>
        <w:spacing w:before="240" w:after="360"/>
        <w:rPr>
          <w:i/>
          <w:iCs/>
          <w:color w:val="4472C4" w:themeColor="accent1"/>
          <w:sz w:val="26"/>
          <w:szCs w:val="26"/>
        </w:rPr>
      </w:pPr>
      <w:r w:rsidRPr="00475F65">
        <w:rPr>
          <w:i/>
          <w:iCs/>
          <w:color w:val="4472C4" w:themeColor="accent1"/>
          <w:sz w:val="26"/>
          <w:szCs w:val="26"/>
        </w:rPr>
        <w:t xml:space="preserve">I have reviewed and understand our </w:t>
      </w:r>
      <w:r w:rsidRPr="00475F65">
        <w:rPr>
          <w:b/>
          <w:bCs/>
          <w:i/>
          <w:iCs/>
          <w:color w:val="4472C4" w:themeColor="accent1"/>
          <w:sz w:val="26"/>
          <w:szCs w:val="26"/>
        </w:rPr>
        <w:t>Attentive Driving Policy</w:t>
      </w:r>
      <w:r w:rsidRPr="00475F65">
        <w:rPr>
          <w:i/>
          <w:iCs/>
          <w:color w:val="4472C4" w:themeColor="accent1"/>
          <w:sz w:val="26"/>
          <w:szCs w:val="26"/>
        </w:rPr>
        <w:t>:</w:t>
      </w:r>
    </w:p>
    <w:p w14:paraId="0429EC80" w14:textId="2C035E4B" w:rsidR="00472B2D" w:rsidRPr="009F7720" w:rsidRDefault="00472B2D" w:rsidP="00472B2D">
      <w:pPr>
        <w:rPr>
          <w:i/>
          <w:iCs/>
        </w:rPr>
      </w:pPr>
      <w:r>
        <w:rPr>
          <w:i/>
          <w:iCs/>
          <w:color w:val="4472C4" w:themeColor="accent1"/>
        </w:rPr>
        <w:t xml:space="preserve">Driver </w:t>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r>
      <w:r>
        <w:rPr>
          <w:i/>
          <w:iCs/>
          <w:color w:val="4472C4" w:themeColor="accent1"/>
        </w:rPr>
        <w:softHyphen/>
        <w:t>_____________________________Signature_____________________________________Date _____________</w:t>
      </w:r>
    </w:p>
    <w:sectPr w:rsidR="00472B2D" w:rsidRPr="009F7720" w:rsidSect="00940CDD">
      <w:headerReference w:type="default" r:id="rId12"/>
      <w:footerReference w:type="default" r:id="rId13"/>
      <w:type w:val="continuous"/>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964B" w14:textId="77777777" w:rsidR="000C6BFC" w:rsidRDefault="000C6BFC" w:rsidP="00EC16F1">
      <w:pPr>
        <w:spacing w:after="0" w:line="240" w:lineRule="auto"/>
      </w:pPr>
      <w:r>
        <w:separator/>
      </w:r>
    </w:p>
  </w:endnote>
  <w:endnote w:type="continuationSeparator" w:id="0">
    <w:p w14:paraId="69E88206" w14:textId="77777777" w:rsidR="000C6BFC" w:rsidRDefault="000C6BFC" w:rsidP="00EC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33915822" w14:textId="77777777" w:rsidR="00BF4D3F" w:rsidRDefault="00BF4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EECCAB" w14:textId="77777777" w:rsidR="00EC16F1" w:rsidRDefault="00EC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38E1" w14:textId="77777777" w:rsidR="000C6BFC" w:rsidRDefault="000C6BFC" w:rsidP="00EC16F1">
      <w:pPr>
        <w:spacing w:after="0" w:line="240" w:lineRule="auto"/>
      </w:pPr>
      <w:r>
        <w:separator/>
      </w:r>
    </w:p>
  </w:footnote>
  <w:footnote w:type="continuationSeparator" w:id="0">
    <w:p w14:paraId="583C6027" w14:textId="77777777" w:rsidR="000C6BFC" w:rsidRDefault="000C6BFC" w:rsidP="00EC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7AE" w14:textId="196928B8" w:rsidR="00A46114" w:rsidRDefault="001A066B">
    <w:pPr>
      <w:pStyle w:val="Header"/>
    </w:pPr>
    <w:r>
      <w:rPr>
        <w:b/>
        <w:noProof/>
      </w:rPr>
      <mc:AlternateContent>
        <mc:Choice Requires="wps">
          <w:drawing>
            <wp:anchor distT="0" distB="0" distL="114300" distR="114300" simplePos="0" relativeHeight="251657216" behindDoc="0" locked="0" layoutInCell="1" allowOverlap="1" wp14:anchorId="03817008" wp14:editId="01E09095">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7BCD" id="Rectangle 2" o:spid="_x0000_s1026" style="position:absolute;margin-left:0;margin-top:-36.2pt;width:612pt;height:28.8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" fillcolor="#1657a4" strokecolor="#1f3763 [1604]" strokeweight="1pt">
              <w10:wrap anchorx="page"/>
            </v:rec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418"/>
    <w:multiLevelType w:val="hybridMultilevel"/>
    <w:tmpl w:val="4DDED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57FE1"/>
    <w:multiLevelType w:val="hybridMultilevel"/>
    <w:tmpl w:val="A56E12F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F6A6501"/>
    <w:multiLevelType w:val="hybridMultilevel"/>
    <w:tmpl w:val="257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181"/>
    <w:multiLevelType w:val="hybridMultilevel"/>
    <w:tmpl w:val="AFF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F2315"/>
    <w:multiLevelType w:val="hybridMultilevel"/>
    <w:tmpl w:val="C7C67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E14DC"/>
    <w:multiLevelType w:val="hybridMultilevel"/>
    <w:tmpl w:val="EB34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E6E86"/>
    <w:multiLevelType w:val="hybridMultilevel"/>
    <w:tmpl w:val="CC8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46B3D"/>
    <w:multiLevelType w:val="hybridMultilevel"/>
    <w:tmpl w:val="897A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9407F"/>
    <w:multiLevelType w:val="hybridMultilevel"/>
    <w:tmpl w:val="107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15700"/>
    <w:multiLevelType w:val="hybridMultilevel"/>
    <w:tmpl w:val="DFFC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F0166"/>
    <w:multiLevelType w:val="hybridMultilevel"/>
    <w:tmpl w:val="CFB4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C2606"/>
    <w:multiLevelType w:val="hybridMultilevel"/>
    <w:tmpl w:val="3EF4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8038A"/>
    <w:multiLevelType w:val="hybridMultilevel"/>
    <w:tmpl w:val="5DE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43D4F"/>
    <w:multiLevelType w:val="hybridMultilevel"/>
    <w:tmpl w:val="87B49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96FDB"/>
    <w:multiLevelType w:val="hybridMultilevel"/>
    <w:tmpl w:val="D47C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4716"/>
    <w:multiLevelType w:val="hybridMultilevel"/>
    <w:tmpl w:val="A742F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28D2DD1"/>
    <w:multiLevelType w:val="hybridMultilevel"/>
    <w:tmpl w:val="EBE8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D472B"/>
    <w:multiLevelType w:val="hybridMultilevel"/>
    <w:tmpl w:val="9BA0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F1734"/>
    <w:multiLevelType w:val="hybridMultilevel"/>
    <w:tmpl w:val="C2D4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F4232"/>
    <w:multiLevelType w:val="hybridMultilevel"/>
    <w:tmpl w:val="8A7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9107F"/>
    <w:multiLevelType w:val="hybridMultilevel"/>
    <w:tmpl w:val="16366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B4831"/>
    <w:multiLevelType w:val="hybridMultilevel"/>
    <w:tmpl w:val="CDB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829D4"/>
    <w:multiLevelType w:val="hybridMultilevel"/>
    <w:tmpl w:val="CD8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354F7"/>
    <w:multiLevelType w:val="hybridMultilevel"/>
    <w:tmpl w:val="BD26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E3878"/>
    <w:multiLevelType w:val="hybridMultilevel"/>
    <w:tmpl w:val="369E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4"/>
  </w:num>
  <w:num w:numId="4">
    <w:abstractNumId w:val="10"/>
  </w:num>
  <w:num w:numId="5">
    <w:abstractNumId w:val="22"/>
  </w:num>
  <w:num w:numId="6">
    <w:abstractNumId w:val="9"/>
  </w:num>
  <w:num w:numId="7">
    <w:abstractNumId w:val="19"/>
  </w:num>
  <w:num w:numId="8">
    <w:abstractNumId w:val="7"/>
  </w:num>
  <w:num w:numId="9">
    <w:abstractNumId w:val="18"/>
  </w:num>
  <w:num w:numId="10">
    <w:abstractNumId w:val="3"/>
  </w:num>
  <w:num w:numId="11">
    <w:abstractNumId w:val="1"/>
  </w:num>
  <w:num w:numId="12">
    <w:abstractNumId w:val="0"/>
  </w:num>
  <w:num w:numId="13">
    <w:abstractNumId w:val="8"/>
  </w:num>
  <w:num w:numId="14">
    <w:abstractNumId w:val="14"/>
  </w:num>
  <w:num w:numId="15">
    <w:abstractNumId w:val="5"/>
  </w:num>
  <w:num w:numId="16">
    <w:abstractNumId w:val="20"/>
  </w:num>
  <w:num w:numId="17">
    <w:abstractNumId w:val="15"/>
  </w:num>
  <w:num w:numId="18">
    <w:abstractNumId w:val="16"/>
  </w:num>
  <w:num w:numId="19">
    <w:abstractNumId w:val="6"/>
  </w:num>
  <w:num w:numId="20">
    <w:abstractNumId w:val="11"/>
  </w:num>
  <w:num w:numId="21">
    <w:abstractNumId w:val="2"/>
  </w:num>
  <w:num w:numId="22">
    <w:abstractNumId w:val="17"/>
  </w:num>
  <w:num w:numId="23">
    <w:abstractNumId w:val="21"/>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1"/>
    <w:rsid w:val="000114F5"/>
    <w:rsid w:val="000344EB"/>
    <w:rsid w:val="000373E1"/>
    <w:rsid w:val="0004380D"/>
    <w:rsid w:val="00045793"/>
    <w:rsid w:val="00050121"/>
    <w:rsid w:val="0005378A"/>
    <w:rsid w:val="00057237"/>
    <w:rsid w:val="00061177"/>
    <w:rsid w:val="00061B58"/>
    <w:rsid w:val="00074193"/>
    <w:rsid w:val="000758C4"/>
    <w:rsid w:val="00077BE0"/>
    <w:rsid w:val="00084FD9"/>
    <w:rsid w:val="00095014"/>
    <w:rsid w:val="000A1599"/>
    <w:rsid w:val="000B7892"/>
    <w:rsid w:val="000C6BFC"/>
    <w:rsid w:val="000D4B51"/>
    <w:rsid w:val="000F16A2"/>
    <w:rsid w:val="000F3518"/>
    <w:rsid w:val="000F3E6F"/>
    <w:rsid w:val="000F5235"/>
    <w:rsid w:val="000F7A5B"/>
    <w:rsid w:val="00100869"/>
    <w:rsid w:val="001113F2"/>
    <w:rsid w:val="00112393"/>
    <w:rsid w:val="001208FC"/>
    <w:rsid w:val="00193DEF"/>
    <w:rsid w:val="0019712B"/>
    <w:rsid w:val="001A066B"/>
    <w:rsid w:val="001B2D88"/>
    <w:rsid w:val="001C178D"/>
    <w:rsid w:val="001C6E75"/>
    <w:rsid w:val="001D5AFD"/>
    <w:rsid w:val="001E4536"/>
    <w:rsid w:val="001F42EB"/>
    <w:rsid w:val="0020063C"/>
    <w:rsid w:val="0020657B"/>
    <w:rsid w:val="00212866"/>
    <w:rsid w:val="002219DA"/>
    <w:rsid w:val="00276BF3"/>
    <w:rsid w:val="002B3B6A"/>
    <w:rsid w:val="002C5D29"/>
    <w:rsid w:val="00305C1C"/>
    <w:rsid w:val="0031009D"/>
    <w:rsid w:val="00321EDC"/>
    <w:rsid w:val="00337DA2"/>
    <w:rsid w:val="003402D2"/>
    <w:rsid w:val="0034508D"/>
    <w:rsid w:val="00345CF0"/>
    <w:rsid w:val="00357894"/>
    <w:rsid w:val="003A5C38"/>
    <w:rsid w:val="003A5FB3"/>
    <w:rsid w:val="003A627F"/>
    <w:rsid w:val="003A6287"/>
    <w:rsid w:val="003B3950"/>
    <w:rsid w:val="003B6C0C"/>
    <w:rsid w:val="00412C9C"/>
    <w:rsid w:val="00424DCF"/>
    <w:rsid w:val="00424EE0"/>
    <w:rsid w:val="004477BD"/>
    <w:rsid w:val="00452AE8"/>
    <w:rsid w:val="00457739"/>
    <w:rsid w:val="004645C2"/>
    <w:rsid w:val="00467E96"/>
    <w:rsid w:val="00472B2D"/>
    <w:rsid w:val="00475F65"/>
    <w:rsid w:val="0048539A"/>
    <w:rsid w:val="004D6016"/>
    <w:rsid w:val="004E6FD2"/>
    <w:rsid w:val="00517BEA"/>
    <w:rsid w:val="00520661"/>
    <w:rsid w:val="005277BE"/>
    <w:rsid w:val="00576CB3"/>
    <w:rsid w:val="00582C1F"/>
    <w:rsid w:val="00584EF8"/>
    <w:rsid w:val="00585306"/>
    <w:rsid w:val="00593053"/>
    <w:rsid w:val="005A6B50"/>
    <w:rsid w:val="005D3073"/>
    <w:rsid w:val="005E3E29"/>
    <w:rsid w:val="005E69C2"/>
    <w:rsid w:val="005F2D19"/>
    <w:rsid w:val="005F3CFC"/>
    <w:rsid w:val="0061010D"/>
    <w:rsid w:val="00626306"/>
    <w:rsid w:val="00637A8C"/>
    <w:rsid w:val="006849AF"/>
    <w:rsid w:val="00691427"/>
    <w:rsid w:val="00694B84"/>
    <w:rsid w:val="006B7414"/>
    <w:rsid w:val="006B7706"/>
    <w:rsid w:val="006C0E3E"/>
    <w:rsid w:val="006C6A94"/>
    <w:rsid w:val="006D2E8C"/>
    <w:rsid w:val="006E0CEE"/>
    <w:rsid w:val="006E3E94"/>
    <w:rsid w:val="006E4CF9"/>
    <w:rsid w:val="006F2A49"/>
    <w:rsid w:val="00701AF5"/>
    <w:rsid w:val="00720D2E"/>
    <w:rsid w:val="00746090"/>
    <w:rsid w:val="00761CA3"/>
    <w:rsid w:val="0079116B"/>
    <w:rsid w:val="007A39DD"/>
    <w:rsid w:val="007A40DE"/>
    <w:rsid w:val="007A71D9"/>
    <w:rsid w:val="007B4E6E"/>
    <w:rsid w:val="007E04F4"/>
    <w:rsid w:val="008150FE"/>
    <w:rsid w:val="0082422D"/>
    <w:rsid w:val="00842834"/>
    <w:rsid w:val="00857E92"/>
    <w:rsid w:val="0087187D"/>
    <w:rsid w:val="0088586D"/>
    <w:rsid w:val="008D01D8"/>
    <w:rsid w:val="008D674D"/>
    <w:rsid w:val="008F3668"/>
    <w:rsid w:val="00927D67"/>
    <w:rsid w:val="00935FC5"/>
    <w:rsid w:val="00940CDD"/>
    <w:rsid w:val="009501CF"/>
    <w:rsid w:val="00955092"/>
    <w:rsid w:val="0099162D"/>
    <w:rsid w:val="00997FFC"/>
    <w:rsid w:val="009A7F09"/>
    <w:rsid w:val="009B7CF0"/>
    <w:rsid w:val="009F08B1"/>
    <w:rsid w:val="00A27975"/>
    <w:rsid w:val="00A456F1"/>
    <w:rsid w:val="00A46114"/>
    <w:rsid w:val="00A536A0"/>
    <w:rsid w:val="00A5416E"/>
    <w:rsid w:val="00A56977"/>
    <w:rsid w:val="00AD0D37"/>
    <w:rsid w:val="00AD1C84"/>
    <w:rsid w:val="00AD338B"/>
    <w:rsid w:val="00AD5665"/>
    <w:rsid w:val="00B10C44"/>
    <w:rsid w:val="00B115FD"/>
    <w:rsid w:val="00B20A59"/>
    <w:rsid w:val="00B23115"/>
    <w:rsid w:val="00B2693D"/>
    <w:rsid w:val="00B27A46"/>
    <w:rsid w:val="00B35526"/>
    <w:rsid w:val="00B42C49"/>
    <w:rsid w:val="00B445FB"/>
    <w:rsid w:val="00B555B8"/>
    <w:rsid w:val="00B6662E"/>
    <w:rsid w:val="00B7009C"/>
    <w:rsid w:val="00B7401C"/>
    <w:rsid w:val="00B920DA"/>
    <w:rsid w:val="00B96038"/>
    <w:rsid w:val="00BB3CE5"/>
    <w:rsid w:val="00BC6815"/>
    <w:rsid w:val="00BD522B"/>
    <w:rsid w:val="00BD5B6B"/>
    <w:rsid w:val="00BE163F"/>
    <w:rsid w:val="00BF4D3F"/>
    <w:rsid w:val="00BF619A"/>
    <w:rsid w:val="00C00C87"/>
    <w:rsid w:val="00C20132"/>
    <w:rsid w:val="00C23913"/>
    <w:rsid w:val="00C446AC"/>
    <w:rsid w:val="00C5741C"/>
    <w:rsid w:val="00C57798"/>
    <w:rsid w:val="00C70AF5"/>
    <w:rsid w:val="00C7527A"/>
    <w:rsid w:val="00C81539"/>
    <w:rsid w:val="00C95113"/>
    <w:rsid w:val="00CA0C74"/>
    <w:rsid w:val="00CA52C1"/>
    <w:rsid w:val="00CC4B33"/>
    <w:rsid w:val="00CD5B21"/>
    <w:rsid w:val="00CE0D32"/>
    <w:rsid w:val="00CE6977"/>
    <w:rsid w:val="00D20B00"/>
    <w:rsid w:val="00D53936"/>
    <w:rsid w:val="00D64AA0"/>
    <w:rsid w:val="00D74D26"/>
    <w:rsid w:val="00D75CB7"/>
    <w:rsid w:val="00D97715"/>
    <w:rsid w:val="00DC3390"/>
    <w:rsid w:val="00E0513A"/>
    <w:rsid w:val="00E16575"/>
    <w:rsid w:val="00E55BA9"/>
    <w:rsid w:val="00E80660"/>
    <w:rsid w:val="00E86A5D"/>
    <w:rsid w:val="00E86B19"/>
    <w:rsid w:val="00E8723A"/>
    <w:rsid w:val="00EC16F1"/>
    <w:rsid w:val="00EC1C60"/>
    <w:rsid w:val="00EC409D"/>
    <w:rsid w:val="00EC5B9C"/>
    <w:rsid w:val="00ED50A6"/>
    <w:rsid w:val="00ED6918"/>
    <w:rsid w:val="00EF2F4B"/>
    <w:rsid w:val="00F00A40"/>
    <w:rsid w:val="00F1436A"/>
    <w:rsid w:val="00F152CD"/>
    <w:rsid w:val="00F2082D"/>
    <w:rsid w:val="00F33150"/>
    <w:rsid w:val="00F358E0"/>
    <w:rsid w:val="00F3745F"/>
    <w:rsid w:val="00F428DB"/>
    <w:rsid w:val="00F52FCA"/>
    <w:rsid w:val="00F6286D"/>
    <w:rsid w:val="00F913C0"/>
    <w:rsid w:val="00FA546A"/>
    <w:rsid w:val="00FC3F1D"/>
    <w:rsid w:val="00FE6AEC"/>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9F76C"/>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styleId="UnresolvedMention">
    <w:name w:val="Unresolved Mention"/>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paragraph" w:styleId="NormalWeb">
    <w:name w:val="Normal (Web)"/>
    <w:basedOn w:val="Normal"/>
    <w:uiPriority w:val="99"/>
    <w:semiHidden/>
    <w:unhideWhenUsed/>
    <w:rsid w:val="00C57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6815">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583808952">
      <w:bodyDiv w:val="1"/>
      <w:marLeft w:val="0"/>
      <w:marRight w:val="0"/>
      <w:marTop w:val="0"/>
      <w:marBottom w:val="0"/>
      <w:divBdr>
        <w:top w:val="none" w:sz="0" w:space="0" w:color="auto"/>
        <w:left w:val="none" w:sz="0" w:space="0" w:color="auto"/>
        <w:bottom w:val="none" w:sz="0" w:space="0" w:color="auto"/>
        <w:right w:val="none" w:sz="0" w:space="0" w:color="auto"/>
      </w:divBdr>
    </w:div>
    <w:div w:id="649986062">
      <w:bodyDiv w:val="1"/>
      <w:marLeft w:val="0"/>
      <w:marRight w:val="0"/>
      <w:marTop w:val="0"/>
      <w:marBottom w:val="0"/>
      <w:divBdr>
        <w:top w:val="none" w:sz="0" w:space="0" w:color="auto"/>
        <w:left w:val="none" w:sz="0" w:space="0" w:color="auto"/>
        <w:bottom w:val="none" w:sz="0" w:space="0" w:color="auto"/>
        <w:right w:val="none" w:sz="0" w:space="0" w:color="auto"/>
      </w:divBdr>
    </w:div>
    <w:div w:id="663051967">
      <w:bodyDiv w:val="1"/>
      <w:marLeft w:val="0"/>
      <w:marRight w:val="0"/>
      <w:marTop w:val="0"/>
      <w:marBottom w:val="0"/>
      <w:divBdr>
        <w:top w:val="none" w:sz="0" w:space="0" w:color="auto"/>
        <w:left w:val="none" w:sz="0" w:space="0" w:color="auto"/>
        <w:bottom w:val="none" w:sz="0" w:space="0" w:color="auto"/>
        <w:right w:val="none" w:sz="0" w:space="0" w:color="auto"/>
      </w:divBdr>
    </w:div>
    <w:div w:id="19986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96E6C-E4A7-4E08-BCC9-6673050E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A1539A-C5CE-4CB6-8D96-73DFD0E4199F}">
  <ds:schemaRefs>
    <ds:schemaRef ds:uri="http://schemas.openxmlformats.org/officeDocument/2006/bibliography"/>
  </ds:schemaRefs>
</ds:datastoreItem>
</file>

<file path=customXml/itemProps3.xml><?xml version="1.0" encoding="utf-8"?>
<ds:datastoreItem xmlns:ds="http://schemas.openxmlformats.org/officeDocument/2006/customXml" ds:itemID="{BC1EC039-1093-4667-B438-DDFAF6A94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D250D-29E9-43D4-A839-056221E2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Gregory W</dc:creator>
  <cp:keywords/>
  <dc:description/>
  <cp:lastModifiedBy>Shambaugh, Nathaniel J (Nate)</cp:lastModifiedBy>
  <cp:revision>3</cp:revision>
  <cp:lastPrinted>2022-01-11T14:47:00Z</cp:lastPrinted>
  <dcterms:created xsi:type="dcterms:W3CDTF">2022-02-17T17:43:00Z</dcterms:created>
  <dcterms:modified xsi:type="dcterms:W3CDTF">2022-02-17T17:44:00Z</dcterms:modified>
</cp:coreProperties>
</file>